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简体" w:hAnsi="Times New Roman" w:eastAsia="方正小标宋简体" w:cs="Times New Roman"/>
          <w:sz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附件</w:t>
      </w:r>
      <w:r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：</w:t>
      </w:r>
    </w:p>
    <w:p>
      <w:pPr>
        <w:widowControl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hAnsi="Times New Roman" w:eastAsia="方正小标宋简体" w:cs="Times New Roman"/>
          <w:sz w:val="44"/>
          <w:lang w:val="en-US" w:eastAsia="zh-CN"/>
        </w:rPr>
        <w:t>高校</w:t>
      </w:r>
      <w:r>
        <w:rPr>
          <w:rFonts w:hint="eastAsia" w:ascii="方正小标宋简体" w:eastAsia="方正小标宋简体" w:cs="Times New Roman"/>
          <w:sz w:val="44"/>
          <w:lang w:val="en-US" w:eastAsia="zh-CN"/>
        </w:rPr>
        <w:t>生物病原微生物</w:t>
      </w:r>
      <w:r>
        <w:rPr>
          <w:rFonts w:hint="eastAsia" w:ascii="方正小标宋简体" w:hAnsi="Times New Roman" w:eastAsia="方正小标宋简体" w:cs="Times New Roman"/>
          <w:sz w:val="44"/>
          <w:lang w:val="en-US" w:eastAsia="zh-CN"/>
        </w:rPr>
        <w:t>实验室安全自查自纠报告</w:t>
      </w:r>
      <w:r>
        <w:rPr>
          <w:rFonts w:hint="eastAsia" w:ascii="方正小标宋简体" w:eastAsia="方正小标宋简体"/>
          <w:sz w:val="44"/>
        </w:rPr>
        <w:t>提纲</w:t>
      </w:r>
    </w:p>
    <w:p>
      <w:pPr>
        <w:numPr>
          <w:ilvl w:val="0"/>
          <w:numId w:val="1"/>
        </w:numPr>
        <w:spacing w:line="353" w:lineRule="auto"/>
        <w:ind w:firstLine="643" w:firstLineChars="200"/>
        <w:rPr>
          <w:rFonts w:hint="eastAsia" w:ascii="Cambria" w:hAnsi="Cambria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Cambria" w:hAnsi="Cambria" w:eastAsia="黑体" w:cs="Times New Roman"/>
          <w:b/>
          <w:bCs/>
          <w:sz w:val="32"/>
          <w:szCs w:val="32"/>
          <w:lang w:eastAsia="zh-CN"/>
        </w:rPr>
        <w:t>实验室建设运行情况</w:t>
      </w:r>
    </w:p>
    <w:p>
      <w:pPr>
        <w:numPr>
          <w:ilvl w:val="0"/>
          <w:numId w:val="0"/>
        </w:numPr>
        <w:spacing w:line="353" w:lineRule="auto"/>
        <w:ind w:firstLine="656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spacing w:val="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4"/>
          <w:sz w:val="32"/>
          <w:szCs w:val="32"/>
          <w:lang w:eastAsia="zh-CN"/>
        </w:rPr>
        <w:t>实验室资质（批准或备案）、生物安全组织管理，从事动物病原微生物实验活动情况。</w:t>
      </w:r>
    </w:p>
    <w:p>
      <w:pPr>
        <w:numPr>
          <w:ilvl w:val="0"/>
          <w:numId w:val="1"/>
        </w:numPr>
        <w:spacing w:line="353" w:lineRule="auto"/>
        <w:ind w:left="0" w:leftChars="0" w:firstLine="643" w:firstLineChars="200"/>
        <w:rPr>
          <w:rFonts w:hint="eastAsia" w:ascii="Cambria" w:hAnsi="Cambria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Cambria" w:hAnsi="Cambria" w:eastAsia="黑体" w:cs="Times New Roman"/>
          <w:b/>
          <w:bCs/>
          <w:sz w:val="32"/>
          <w:szCs w:val="32"/>
          <w:lang w:eastAsia="zh-CN"/>
        </w:rPr>
        <w:t>管理体系建设情况</w:t>
      </w:r>
    </w:p>
    <w:p>
      <w:pPr>
        <w:numPr>
          <w:ilvl w:val="0"/>
          <w:numId w:val="0"/>
        </w:numPr>
        <w:spacing w:line="353" w:lineRule="auto"/>
        <w:ind w:firstLine="656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spacing w:val="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4"/>
          <w:sz w:val="32"/>
          <w:szCs w:val="32"/>
          <w:lang w:eastAsia="zh-CN"/>
        </w:rPr>
        <w:t>应急预案制度实施情况、相应设施设备和专业技术人员配备情况、规章制度建设和落实情况、近三年是否发生过任何生物安全事故，具有生物安全二级或以上实验室的生物安全防护水平。</w:t>
      </w:r>
    </w:p>
    <w:p>
      <w:pPr>
        <w:numPr>
          <w:ilvl w:val="0"/>
          <w:numId w:val="0"/>
        </w:numPr>
        <w:spacing w:line="353" w:lineRule="auto"/>
        <w:ind w:firstLine="643" w:firstLineChars="200"/>
        <w:rPr>
          <w:rFonts w:hint="eastAsia" w:ascii="Cambria" w:hAnsi="Cambria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Cambria" w:hAnsi="Cambria" w:eastAsia="黑体" w:cs="Times New Roman"/>
          <w:b/>
          <w:bCs/>
          <w:sz w:val="32"/>
          <w:szCs w:val="32"/>
          <w:lang w:eastAsia="zh-CN"/>
        </w:rPr>
        <w:t>三、实验室安全责任制度建设情况</w:t>
      </w:r>
    </w:p>
    <w:p>
      <w:pPr>
        <w:numPr>
          <w:ilvl w:val="0"/>
          <w:numId w:val="0"/>
        </w:numPr>
        <w:spacing w:line="353" w:lineRule="auto"/>
        <w:ind w:firstLine="656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spacing w:val="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4"/>
          <w:sz w:val="32"/>
          <w:szCs w:val="32"/>
          <w:lang w:eastAsia="zh-CN"/>
        </w:rPr>
        <w:t>实验室生物安全责任制落实情况、实验室安全保卫制度建设情况、实验室安全事件应急预案及应急演练情况、实验室活动是否严格遵守实验室安全操作规范，是否按要求做好样品检测前的处理和灭活，检测后废弃物处理情况。</w:t>
      </w:r>
    </w:p>
    <w:p>
      <w:pPr>
        <w:numPr>
          <w:ilvl w:val="0"/>
          <w:numId w:val="0"/>
        </w:numPr>
        <w:spacing w:line="353" w:lineRule="auto"/>
        <w:ind w:leftChars="200" w:firstLine="321" w:firstLineChars="100"/>
        <w:rPr>
          <w:rFonts w:hint="eastAsia" w:ascii="Cambria" w:hAnsi="Cambria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Cambria" w:hAnsi="Cambria" w:eastAsia="黑体" w:cs="Times New Roman"/>
          <w:b/>
          <w:bCs/>
          <w:sz w:val="32"/>
          <w:szCs w:val="32"/>
          <w:lang w:eastAsia="zh-CN"/>
        </w:rPr>
        <w:t>四、近三年涉及高致病病原微生物相关活动研究论文的发表情况</w:t>
      </w:r>
    </w:p>
    <w:p>
      <w:pPr>
        <w:numPr>
          <w:ilvl w:val="0"/>
          <w:numId w:val="0"/>
        </w:numPr>
        <w:spacing w:line="353" w:lineRule="auto"/>
        <w:ind w:firstLine="656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spacing w:val="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4"/>
          <w:sz w:val="32"/>
          <w:szCs w:val="32"/>
          <w:lang w:eastAsia="zh-CN"/>
        </w:rPr>
        <w:t>近三年涉及非洲猪瘟病毒、高致病性禽流感病毒、口蹄疫病毒等高致病性动物病原微生物研究论文的发表情况。</w:t>
      </w:r>
    </w:p>
    <w:p>
      <w:pPr>
        <w:numPr>
          <w:ilvl w:val="0"/>
          <w:numId w:val="0"/>
        </w:numPr>
        <w:spacing w:line="353" w:lineRule="auto"/>
        <w:ind w:leftChars="200" w:firstLine="321" w:firstLineChars="100"/>
      </w:pPr>
      <w:r>
        <w:rPr>
          <w:rFonts w:hint="eastAsia" w:ascii="Cambria" w:hAnsi="Cambria" w:eastAsia="黑体" w:cs="Times New Roman"/>
          <w:b/>
          <w:bCs/>
          <w:sz w:val="32"/>
          <w:szCs w:val="32"/>
          <w:lang w:eastAsia="zh-CN"/>
        </w:rPr>
        <w:t>五、实验动物管理与使用、“三废”处理及记录档案等情况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D87BA7"/>
    <w:multiLevelType w:val="singleLevel"/>
    <w:tmpl w:val="D2D87B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C1BC3"/>
    <w:rsid w:val="4CB626F3"/>
    <w:rsid w:val="4F2E27C4"/>
    <w:rsid w:val="4F4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customStyle="1" w:styleId="5">
    <w:name w:val="样式2"/>
    <w:basedOn w:val="1"/>
    <w:next w:val="2"/>
    <w:qFormat/>
    <w:uiPriority w:val="0"/>
    <w:rPr>
      <w:rFonts w:eastAsia="楷体"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2020-09-03T02:27:00Z</dcterms:created>
  <dc:creator>Administrator</dc:creator>
  <cp:lastModifiedBy>Administrator</cp:lastModifiedBy>
  <dcterms:modified xsi:type="dcterms:W3CDTF">2021-06-01T03:00:15Z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9E708FF46E97480C8EF6CC1E4F6FA66A</vt:lpwstr>
  </property>
</Properties>
</file>